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45DC">
      <w:pPr>
        <w:keepNext/>
        <w:numPr>
          <w:ilvl w:val="0"/>
          <w:numId w:val="0"/>
        </w:numPr>
        <w:spacing w:line="360" w:lineRule="auto"/>
        <w:jc w:val="center"/>
        <w:outlineLvl w:val="0"/>
        <w:rPr>
          <w:rFonts w:hint="eastAsia" w:ascii="仿宋" w:hAnsi="仿宋" w:eastAsia="仿宋" w:cs="仿宋"/>
          <w:b w:val="0"/>
          <w:bCs/>
          <w:color w:val="auto"/>
          <w:sz w:val="28"/>
          <w:szCs w:val="28"/>
          <w:highlight w:val="none"/>
          <w:lang w:val="en-US" w:eastAsia="zh-CN" w:bidi="ar-SA"/>
        </w:rPr>
      </w:pPr>
      <w:bookmarkStart w:id="0" w:name="_Toc18780"/>
      <w:r>
        <w:rPr>
          <w:rFonts w:hint="eastAsia" w:ascii="方正仿宋_GBK" w:hAnsi="方正仿宋_GBK" w:eastAsia="方正仿宋_GBK" w:cs="方正仿宋_GBK"/>
          <w:b/>
          <w:bCs/>
          <w:sz w:val="36"/>
          <w:szCs w:val="36"/>
          <w:highlight w:val="none"/>
          <w:lang w:val="en-US" w:eastAsia="zh-CN" w:bidi="ar-SA"/>
        </w:rPr>
        <w:t>第四章 采购需求</w:t>
      </w:r>
      <w:bookmarkEnd w:id="0"/>
    </w:p>
    <w:p w14:paraId="1E6F6D5D">
      <w:pPr>
        <w:pStyle w:val="4"/>
        <w:spacing w:line="360" w:lineRule="auto"/>
        <w:ind w:firstLine="422"/>
        <w:rPr>
          <w:rFonts w:hint="eastAsia" w:ascii="方正仿宋_GBK" w:hAnsi="方正仿宋_GBK" w:eastAsia="方正仿宋_GBK" w:cs="方正仿宋_GBK"/>
          <w:b w:val="0"/>
          <w:bCs/>
          <w:color w:val="auto"/>
          <w:sz w:val="24"/>
          <w:szCs w:val="24"/>
          <w:highlight w:val="none"/>
          <w:lang w:eastAsia="zh-CN"/>
        </w:rPr>
      </w:pPr>
      <w:r>
        <w:rPr>
          <w:rFonts w:hint="eastAsia" w:ascii="方正仿宋_GBK" w:hAnsi="方正仿宋_GBK" w:eastAsia="方正仿宋_GBK" w:cs="方正仿宋_GBK"/>
          <w:b w:val="0"/>
          <w:bCs/>
          <w:color w:val="auto"/>
          <w:sz w:val="24"/>
          <w:szCs w:val="24"/>
          <w:highlight w:val="none"/>
        </w:rPr>
        <w:t>项目属性：服务类项目</w:t>
      </w:r>
      <w:r>
        <w:rPr>
          <w:rFonts w:hint="eastAsia" w:ascii="方正仿宋_GBK" w:hAnsi="方正仿宋_GBK" w:eastAsia="方正仿宋_GBK" w:cs="方正仿宋_GBK"/>
          <w:b w:val="0"/>
          <w:bCs/>
          <w:color w:val="auto"/>
          <w:sz w:val="24"/>
          <w:szCs w:val="24"/>
          <w:highlight w:val="none"/>
          <w:lang w:eastAsia="zh-CN"/>
        </w:rPr>
        <w:t>。</w:t>
      </w:r>
    </w:p>
    <w:p w14:paraId="35EE4300">
      <w:pPr>
        <w:pStyle w:val="4"/>
        <w:spacing w:line="360" w:lineRule="auto"/>
        <w:ind w:firstLine="422"/>
        <w:rPr>
          <w:rFonts w:hint="eastAsia" w:ascii="方正仿宋_GBK" w:hAnsi="方正仿宋_GBK" w:eastAsia="方正仿宋_GBK" w:cs="方正仿宋_GBK"/>
          <w:b w:val="0"/>
          <w:bCs/>
          <w:color w:val="auto"/>
          <w:sz w:val="24"/>
          <w:szCs w:val="24"/>
          <w:highlight w:val="none"/>
          <w:lang w:eastAsia="zh-CN"/>
        </w:rPr>
      </w:pPr>
      <w:r>
        <w:rPr>
          <w:rFonts w:hint="eastAsia" w:ascii="方正仿宋_GBK" w:hAnsi="方正仿宋_GBK" w:eastAsia="方正仿宋_GBK" w:cs="方正仿宋_GBK"/>
          <w:b w:val="0"/>
          <w:bCs/>
          <w:color w:val="auto"/>
          <w:sz w:val="24"/>
          <w:szCs w:val="24"/>
          <w:highlight w:val="none"/>
        </w:rPr>
        <w:t>本项目采购标的对应的中小企业划分标准所属行业： 其他未列明行业</w:t>
      </w:r>
      <w:r>
        <w:rPr>
          <w:rFonts w:hint="eastAsia" w:ascii="方正仿宋_GBK" w:hAnsi="方正仿宋_GBK" w:eastAsia="方正仿宋_GBK" w:cs="方正仿宋_GBK"/>
          <w:b w:val="0"/>
          <w:bCs/>
          <w:color w:val="auto"/>
          <w:sz w:val="24"/>
          <w:szCs w:val="24"/>
          <w:highlight w:val="none"/>
          <w:lang w:eastAsia="zh-CN"/>
        </w:rPr>
        <w:t>。</w:t>
      </w:r>
    </w:p>
    <w:p w14:paraId="3D82F397">
      <w:pPr>
        <w:pStyle w:val="4"/>
        <w:spacing w:line="360" w:lineRule="auto"/>
        <w:ind w:firstLine="422"/>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本项目</w:t>
      </w:r>
      <w:r>
        <w:rPr>
          <w:rFonts w:hint="eastAsia" w:ascii="方正仿宋_GBK" w:hAnsi="方正仿宋_GBK" w:eastAsia="方正仿宋_GBK" w:cs="方正仿宋_GBK"/>
          <w:b w:val="0"/>
          <w:bCs/>
          <w:color w:val="auto"/>
          <w:sz w:val="24"/>
          <w:szCs w:val="24"/>
          <w:highlight w:val="none"/>
          <w:u w:val="single"/>
        </w:rPr>
        <w:t xml:space="preserve">   不接受   </w:t>
      </w:r>
      <w:r>
        <w:rPr>
          <w:rFonts w:hint="eastAsia" w:ascii="方正仿宋_GBK" w:hAnsi="方正仿宋_GBK" w:eastAsia="方正仿宋_GBK" w:cs="方正仿宋_GBK"/>
          <w:b w:val="0"/>
          <w:bCs/>
          <w:color w:val="auto"/>
          <w:sz w:val="24"/>
          <w:szCs w:val="24"/>
          <w:highlight w:val="none"/>
        </w:rPr>
        <w:t>（接受/不接受）进口产品。</w:t>
      </w:r>
    </w:p>
    <w:p w14:paraId="4E86AAB6">
      <w:pPr>
        <w:pStyle w:val="4"/>
        <w:spacing w:line="360" w:lineRule="auto"/>
        <w:ind w:firstLine="422"/>
        <w:rPr>
          <w:rFonts w:hint="eastAsia" w:ascii="方正仿宋_GBK" w:hAnsi="方正仿宋_GBK" w:eastAsia="方正仿宋_GBK" w:cs="方正仿宋_GBK"/>
          <w:b w:val="0"/>
          <w:bCs/>
          <w:color w:val="auto"/>
          <w:sz w:val="24"/>
          <w:szCs w:val="24"/>
          <w:highlight w:val="none"/>
        </w:rPr>
      </w:pPr>
      <w:bookmarkStart w:id="4" w:name="_GoBack"/>
      <w:bookmarkEnd w:id="4"/>
    </w:p>
    <w:p w14:paraId="6577B8F2">
      <w:pPr>
        <w:pStyle w:val="4"/>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一、项目概况</w:t>
      </w:r>
    </w:p>
    <w:p w14:paraId="0F7EF0FB">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1、招标内容：泗洪县向阳等38座小型水库大坝安全鉴定项目。</w:t>
      </w:r>
    </w:p>
    <w:p w14:paraId="7EFB5EB1">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2、付款方式：</w:t>
      </w:r>
    </w:p>
    <w:p w14:paraId="5A67D5FE">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预付款：合同签订后收到中标供应商发票10个工作日内预付合同价款的10%；</w:t>
      </w:r>
    </w:p>
    <w:p w14:paraId="1A4431AE">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default"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rPr>
        <w:t>进度款：完成向阳、赵庄等7座小型水库大坝安全鉴定工作并通过水利部门组织的</w:t>
      </w:r>
      <w:r>
        <w:rPr>
          <w:rFonts w:hint="eastAsia" w:ascii="方正仿宋_GBK" w:hAnsi="方正仿宋_GBK" w:eastAsia="方正仿宋_GBK" w:cs="方正仿宋_GBK"/>
          <w:b w:val="0"/>
          <w:bCs/>
          <w:color w:val="auto"/>
          <w:sz w:val="24"/>
          <w:szCs w:val="24"/>
          <w:highlight w:val="none"/>
        </w:rPr>
        <w:t>审查与鉴定</w:t>
      </w:r>
      <w:r>
        <w:rPr>
          <w:rFonts w:hint="eastAsia" w:ascii="方正仿宋_GBK" w:hAnsi="方正仿宋_GBK" w:eastAsia="方正仿宋_GBK" w:cs="方正仿宋_GBK"/>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lang w:val="en-US" w:eastAsia="zh-CN"/>
        </w:rPr>
        <w:t>付至合同价的30%</w:t>
      </w:r>
      <w:r>
        <w:rPr>
          <w:rFonts w:hint="eastAsia" w:ascii="方正仿宋_GBK" w:hAnsi="方正仿宋_GBK" w:eastAsia="方正仿宋_GBK" w:cs="方正仿宋_GBK"/>
          <w:b w:val="0"/>
          <w:bCs/>
          <w:color w:val="auto"/>
          <w:sz w:val="24"/>
          <w:szCs w:val="24"/>
          <w:highlight w:val="none"/>
          <w:lang w:eastAsia="zh-CN"/>
        </w:rPr>
        <w:t>；完成瓦坊、先锋等31座小型水库大坝安全鉴定工作并通过水利部门组织的</w:t>
      </w:r>
      <w:r>
        <w:rPr>
          <w:rFonts w:hint="eastAsia" w:ascii="方正仿宋_GBK" w:hAnsi="方正仿宋_GBK" w:eastAsia="方正仿宋_GBK" w:cs="方正仿宋_GBK"/>
          <w:b w:val="0"/>
          <w:bCs/>
          <w:color w:val="auto"/>
          <w:sz w:val="24"/>
          <w:szCs w:val="24"/>
          <w:highlight w:val="none"/>
          <w:lang w:eastAsia="zh-CN"/>
        </w:rPr>
        <w:t>审查与鉴定</w:t>
      </w:r>
      <w:r>
        <w:rPr>
          <w:rFonts w:hint="eastAsia" w:ascii="方正仿宋_GBK" w:hAnsi="方正仿宋_GBK" w:eastAsia="方正仿宋_GBK" w:cs="方正仿宋_GBK"/>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lang w:val="en-US" w:eastAsia="zh-CN"/>
        </w:rPr>
        <w:t>付至合同价的100%。</w:t>
      </w:r>
    </w:p>
    <w:p w14:paraId="266F7E5B">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资金支付的时间：收到供应商发票10个工作日内。</w:t>
      </w:r>
    </w:p>
    <w:p w14:paraId="17237869">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资金支付的条件：满足相应阶段的要求且收到供应商发票。</w:t>
      </w:r>
    </w:p>
    <w:p w14:paraId="702FADFA">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可以采用数字人民币支付。</w:t>
      </w:r>
    </w:p>
    <w:p w14:paraId="403EF030">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注：在签订合同时，中标人明确表示无需预付款或者主动要求降低预付款比例的，采购人可不适用前述规定。</w:t>
      </w:r>
    </w:p>
    <w:p w14:paraId="20E025E7">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lang w:eastAsia="zh-CN"/>
        </w:rPr>
      </w:pPr>
      <w:r>
        <w:rPr>
          <w:rFonts w:hint="eastAsia" w:ascii="方正仿宋_GBK" w:hAnsi="方正仿宋_GBK" w:eastAsia="方正仿宋_GBK" w:cs="方正仿宋_GBK"/>
          <w:b w:val="0"/>
          <w:bCs/>
          <w:color w:val="auto"/>
          <w:sz w:val="24"/>
          <w:szCs w:val="24"/>
          <w:highlight w:val="none"/>
          <w:lang w:val="en-US" w:eastAsia="zh-CN"/>
        </w:rPr>
        <w:t>3、</w:t>
      </w:r>
      <w:r>
        <w:rPr>
          <w:rFonts w:hint="eastAsia" w:ascii="方正仿宋_GBK" w:hAnsi="方正仿宋_GBK" w:eastAsia="方正仿宋_GBK" w:cs="方正仿宋_GBK"/>
          <w:b w:val="0"/>
          <w:bCs/>
          <w:color w:val="auto"/>
          <w:sz w:val="24"/>
          <w:szCs w:val="24"/>
          <w:highlight w:val="none"/>
        </w:rPr>
        <w:t>质量要求：</w:t>
      </w:r>
      <w:r>
        <w:rPr>
          <w:rFonts w:hint="eastAsia" w:ascii="方正仿宋_GBK" w:hAnsi="方正仿宋_GBK" w:eastAsia="方正仿宋_GBK" w:cs="方正仿宋_GBK"/>
          <w:b w:val="0"/>
          <w:bCs/>
          <w:color w:val="auto"/>
          <w:sz w:val="24"/>
          <w:szCs w:val="24"/>
          <w:highlight w:val="none"/>
          <w:lang w:eastAsia="zh-CN"/>
        </w:rPr>
        <w:t>满足相关规范、规程、审批及节点时间要求并通过省级评审。</w:t>
      </w:r>
    </w:p>
    <w:p w14:paraId="67A8D247">
      <w:pPr>
        <w:pStyle w:val="4"/>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color w:val="auto"/>
          <w:sz w:val="28"/>
          <w:szCs w:val="28"/>
          <w:highlight w:val="none"/>
        </w:rPr>
      </w:pPr>
      <w:bookmarkStart w:id="1" w:name="_Hlk203675590"/>
      <w:r>
        <w:rPr>
          <w:rFonts w:hint="eastAsia" w:ascii="方正仿宋_GBK" w:hAnsi="方正仿宋_GBK" w:eastAsia="方正仿宋_GBK" w:cs="方正仿宋_GBK"/>
          <w:b w:val="0"/>
          <w:bCs/>
          <w:color w:val="auto"/>
          <w:sz w:val="28"/>
          <w:szCs w:val="28"/>
          <w:highlight w:val="none"/>
          <w:lang w:val="en-US" w:eastAsia="zh-CN"/>
        </w:rPr>
        <w:t>二</w:t>
      </w:r>
      <w:r>
        <w:rPr>
          <w:rFonts w:hint="eastAsia" w:ascii="方正仿宋_GBK" w:hAnsi="方正仿宋_GBK" w:eastAsia="方正仿宋_GBK" w:cs="方正仿宋_GBK"/>
          <w:b w:val="0"/>
          <w:bCs/>
          <w:color w:val="auto"/>
          <w:sz w:val="28"/>
          <w:szCs w:val="28"/>
          <w:highlight w:val="none"/>
        </w:rPr>
        <w:t>、项目简要说明</w:t>
      </w:r>
    </w:p>
    <w:p w14:paraId="3F9E4A3B">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根据《江苏省水库管理条例》《江苏省水库大坝安全鉴定实施细则》有关要求，大中型水库每6年、小型水库每8年内应进行一次大坝安全鉴定。我县向阳、赵庄等7座小型水库前次安全鉴定时间为2018年，今年到期</w:t>
      </w:r>
      <w:r>
        <w:rPr>
          <w:rFonts w:hint="eastAsia" w:ascii="方正仿宋_GBK" w:hAnsi="方正仿宋_GBK" w:eastAsia="方正仿宋_GBK" w:cs="方正仿宋_GBK"/>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rPr>
        <w:t>瓦房、先锋等31座小型水库前次安全鉴定时间为2019年,明年到期。近日，省水利厅要求2025年底前完成到期水库大坝安全鉴定，启动实施2026年到期水库大坝安全鉴定。</w:t>
      </w:r>
    </w:p>
    <w:p w14:paraId="047C3300">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lang w:eastAsia="zh-CN"/>
        </w:rPr>
      </w:pPr>
      <w:r>
        <w:rPr>
          <w:rFonts w:hint="eastAsia" w:ascii="方正仿宋_GBK" w:hAnsi="方正仿宋_GBK" w:eastAsia="方正仿宋_GBK" w:cs="方正仿宋_GBK"/>
          <w:b w:val="0"/>
          <w:bCs/>
          <w:color w:val="auto"/>
          <w:sz w:val="24"/>
          <w:szCs w:val="24"/>
          <w:highlight w:val="none"/>
        </w:rPr>
        <w:t>为进一步加强全县水库安全管理，保障大坝安全运行，我局拟于近期实施38座小型水库大坝安全鉴定工作，计划2025年底完成向阳、赵庄等7座小型水库大坝安全鉴定，2026年6月底前完成瓦房、先锋等31座小型水库大坝安全鉴定</w:t>
      </w:r>
      <w:r>
        <w:rPr>
          <w:rFonts w:hint="eastAsia" w:ascii="方正仿宋_GBK" w:hAnsi="方正仿宋_GBK" w:eastAsia="方正仿宋_GBK" w:cs="方正仿宋_GBK"/>
          <w:b w:val="0"/>
          <w:bCs/>
          <w:color w:val="auto"/>
          <w:sz w:val="24"/>
          <w:szCs w:val="24"/>
          <w:highlight w:val="none"/>
          <w:lang w:val="en-US" w:eastAsia="zh-CN"/>
        </w:rPr>
        <w:t>工作。</w:t>
      </w:r>
    </w:p>
    <w:p w14:paraId="59428A94">
      <w:pPr>
        <w:pStyle w:val="4"/>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三、服务技术要求</w:t>
      </w:r>
    </w:p>
    <w:p w14:paraId="185A3B92">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bookmarkStart w:id="2" w:name="_Hlk203675917"/>
      <w:r>
        <w:rPr>
          <w:rFonts w:hint="eastAsia" w:ascii="方正仿宋_GBK" w:hAnsi="方正仿宋_GBK" w:eastAsia="方正仿宋_GBK" w:cs="方正仿宋_GBK"/>
          <w:b w:val="0"/>
          <w:bCs/>
          <w:color w:val="auto"/>
          <w:sz w:val="24"/>
          <w:szCs w:val="24"/>
          <w:highlight w:val="none"/>
        </w:rPr>
        <w:t>按照《江苏省水库管理条例》《江苏省水库大坝安全鉴定实施细则》及现行相关规范、规定和要求，出具泗洪县向阳等38座小型水库大坝安全评价报告，编制泗洪县向阳等38座小型水库大坝安全鉴定书，并通过水利部门组织的</w:t>
      </w:r>
      <w:r>
        <w:rPr>
          <w:rFonts w:hint="eastAsia" w:ascii="方正仿宋_GBK" w:hAnsi="方正仿宋_GBK" w:eastAsia="方正仿宋_GBK" w:cs="方正仿宋_GBK"/>
          <w:b w:val="0"/>
          <w:bCs/>
          <w:color w:val="auto"/>
          <w:sz w:val="24"/>
          <w:szCs w:val="24"/>
          <w:highlight w:val="none"/>
        </w:rPr>
        <w:t>审查与鉴定</w:t>
      </w:r>
      <w:r>
        <w:rPr>
          <w:rFonts w:hint="eastAsia" w:ascii="方正仿宋_GBK" w:hAnsi="方正仿宋_GBK" w:eastAsia="方正仿宋_GBK" w:cs="方正仿宋_GBK"/>
          <w:b w:val="0"/>
          <w:bCs/>
          <w:color w:val="auto"/>
          <w:sz w:val="24"/>
          <w:szCs w:val="24"/>
          <w:highlight w:val="none"/>
        </w:rPr>
        <w:t>。</w:t>
      </w:r>
    </w:p>
    <w:p w14:paraId="5164C71A">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1、根据</w:t>
      </w:r>
      <w:r>
        <w:rPr>
          <w:rFonts w:hint="eastAsia" w:ascii="方正仿宋_GBK" w:hAnsi="方正仿宋_GBK" w:eastAsia="方正仿宋_GBK" w:cs="方正仿宋_GBK"/>
          <w:b w:val="0"/>
          <w:bCs/>
          <w:color w:val="auto"/>
          <w:sz w:val="24"/>
          <w:szCs w:val="24"/>
          <w:highlight w:val="none"/>
        </w:rPr>
        <w:t>泗洪县向阳等38座小型水库大坝实际状况进行安全性的分析评价和进行现场的安全检查。安全鉴定工作主要包括以下各项：</w:t>
      </w:r>
    </w:p>
    <w:p w14:paraId="7B4FD1CC">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（1）现状调查分析：</w:t>
      </w:r>
      <w:r>
        <w:rPr>
          <w:rFonts w:hint="eastAsia" w:ascii="方正仿宋_GBK" w:hAnsi="方正仿宋_GBK" w:eastAsia="方正仿宋_GBK" w:cs="方正仿宋_GBK"/>
          <w:b w:val="0"/>
          <w:bCs/>
          <w:color w:val="auto"/>
          <w:sz w:val="24"/>
          <w:szCs w:val="24"/>
          <w:highlight w:val="none"/>
        </w:rPr>
        <w:t>鉴定</w:t>
      </w:r>
      <w:r>
        <w:rPr>
          <w:rFonts w:hint="eastAsia" w:ascii="方正仿宋_GBK" w:hAnsi="方正仿宋_GBK" w:eastAsia="方正仿宋_GBK" w:cs="方正仿宋_GBK"/>
          <w:b w:val="0"/>
          <w:bCs/>
          <w:color w:val="auto"/>
          <w:sz w:val="24"/>
          <w:szCs w:val="24"/>
          <w:highlight w:val="none"/>
          <w:lang w:val="en-US" w:eastAsia="zh-CN"/>
        </w:rPr>
        <w:t>承担</w:t>
      </w:r>
      <w:r>
        <w:rPr>
          <w:rFonts w:hint="eastAsia" w:ascii="方正仿宋_GBK" w:hAnsi="方正仿宋_GBK" w:eastAsia="方正仿宋_GBK" w:cs="方正仿宋_GBK"/>
          <w:b w:val="0"/>
          <w:bCs/>
          <w:color w:val="auto"/>
          <w:sz w:val="24"/>
          <w:szCs w:val="24"/>
          <w:highlight w:val="none"/>
        </w:rPr>
        <w:t>单位</w:t>
      </w:r>
      <w:r>
        <w:rPr>
          <w:rFonts w:hint="eastAsia" w:ascii="方正仿宋_GBK" w:hAnsi="方正仿宋_GBK" w:eastAsia="方正仿宋_GBK" w:cs="方正仿宋_GBK"/>
          <w:b w:val="0"/>
          <w:bCs/>
          <w:color w:val="auto"/>
          <w:sz w:val="24"/>
          <w:szCs w:val="24"/>
          <w:highlight w:val="none"/>
        </w:rPr>
        <w:t>应在分析设计、施工、更新改造、运行管理资料的基础上开展现状调查工作，形成《</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现状调查分析报告》。</w:t>
      </w:r>
    </w:p>
    <w:p w14:paraId="124764CE">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（2）现场安全检测：</w:t>
      </w:r>
      <w:r>
        <w:rPr>
          <w:rFonts w:hint="eastAsia" w:ascii="方正仿宋_GBK" w:hAnsi="方正仿宋_GBK" w:eastAsia="方正仿宋_GBK" w:cs="方正仿宋_GBK"/>
          <w:b w:val="0"/>
          <w:bCs/>
          <w:color w:val="auto"/>
          <w:sz w:val="24"/>
          <w:szCs w:val="24"/>
          <w:highlight w:val="none"/>
        </w:rPr>
        <w:t>鉴定</w:t>
      </w:r>
      <w:r>
        <w:rPr>
          <w:rFonts w:hint="eastAsia" w:ascii="方正仿宋_GBK" w:hAnsi="方正仿宋_GBK" w:eastAsia="方正仿宋_GBK" w:cs="方正仿宋_GBK"/>
          <w:b w:val="0"/>
          <w:bCs/>
          <w:color w:val="auto"/>
          <w:sz w:val="24"/>
          <w:szCs w:val="24"/>
          <w:highlight w:val="none"/>
          <w:lang w:val="en-US" w:eastAsia="zh-CN"/>
        </w:rPr>
        <w:t>承担</w:t>
      </w:r>
      <w:r>
        <w:rPr>
          <w:rFonts w:hint="eastAsia" w:ascii="方正仿宋_GBK" w:hAnsi="方正仿宋_GBK" w:eastAsia="方正仿宋_GBK" w:cs="方正仿宋_GBK"/>
          <w:b w:val="0"/>
          <w:bCs/>
          <w:color w:val="auto"/>
          <w:sz w:val="24"/>
          <w:szCs w:val="24"/>
          <w:highlight w:val="none"/>
        </w:rPr>
        <w:t>单位</w:t>
      </w:r>
      <w:r>
        <w:rPr>
          <w:rFonts w:hint="eastAsia" w:ascii="方正仿宋_GBK" w:hAnsi="方正仿宋_GBK" w:eastAsia="方正仿宋_GBK" w:cs="方正仿宋_GBK"/>
          <w:b w:val="0"/>
          <w:bCs/>
          <w:color w:val="auto"/>
          <w:sz w:val="24"/>
          <w:szCs w:val="24"/>
          <w:highlight w:val="none"/>
          <w:lang w:val="en-US" w:eastAsia="zh-CN"/>
        </w:rPr>
        <w:t>根据《水库大坝安全鉴定办法》等有关要求</w:t>
      </w:r>
      <w:r>
        <w:rPr>
          <w:rFonts w:hint="eastAsia" w:ascii="方正仿宋_GBK" w:hAnsi="方正仿宋_GBK" w:eastAsia="方正仿宋_GBK" w:cs="方正仿宋_GBK"/>
          <w:b w:val="0"/>
          <w:bCs/>
          <w:color w:val="auto"/>
          <w:sz w:val="24"/>
          <w:szCs w:val="24"/>
          <w:highlight w:val="none"/>
        </w:rPr>
        <w:t>开展</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安全检测</w:t>
      </w:r>
      <w:r>
        <w:rPr>
          <w:rFonts w:hint="eastAsia" w:ascii="方正仿宋_GBK" w:hAnsi="方正仿宋_GBK" w:eastAsia="方正仿宋_GBK" w:cs="方正仿宋_GBK"/>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rPr>
        <w:t>对安全状况进行分析评价，形成《现场安全检测报告》。</w:t>
      </w:r>
    </w:p>
    <w:p w14:paraId="238A577F">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（3）工程复核分析计算：鉴定承担单位应根据对</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工程规模、建筑物、金属结构</w:t>
      </w:r>
      <w:r>
        <w:rPr>
          <w:rFonts w:hint="eastAsia" w:ascii="方正仿宋_GBK" w:hAnsi="方正仿宋_GBK" w:eastAsia="方正仿宋_GBK" w:cs="方正仿宋_GBK"/>
          <w:b w:val="0"/>
          <w:bCs/>
          <w:color w:val="auto"/>
          <w:sz w:val="24"/>
          <w:szCs w:val="24"/>
          <w:highlight w:val="none"/>
        </w:rPr>
        <w:t>等</w:t>
      </w:r>
      <w:r>
        <w:rPr>
          <w:rFonts w:hint="eastAsia" w:ascii="方正仿宋_GBK" w:hAnsi="方正仿宋_GBK" w:eastAsia="方正仿宋_GBK" w:cs="方正仿宋_GBK"/>
          <w:b w:val="0"/>
          <w:bCs/>
          <w:color w:val="auto"/>
          <w:sz w:val="24"/>
          <w:szCs w:val="24"/>
          <w:highlight w:val="none"/>
        </w:rPr>
        <w:t>复核计算分析成果，对</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建筑物、金属结构分别进行评价，并对</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安全类别进行综合评价，形成《工程复核计算分析报告》。</w:t>
      </w:r>
    </w:p>
    <w:p w14:paraId="797D98B3">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（4）安全类别评定：由鉴定审定单位或委托有关单位，组织安全鉴定审查，成立审查专家组，采取现场检查、召开审查会议等形式，对</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安全鉴定报告成果进行审查，形成</w:t>
      </w:r>
      <w:r>
        <w:rPr>
          <w:rFonts w:hint="eastAsia" w:ascii="方正仿宋_GBK" w:hAnsi="方正仿宋_GBK" w:eastAsia="方正仿宋_GBK" w:cs="方正仿宋_GBK"/>
          <w:b w:val="0"/>
          <w:bCs/>
          <w:color w:val="auto"/>
          <w:sz w:val="24"/>
          <w:szCs w:val="24"/>
          <w:highlight w:val="none"/>
          <w:lang w:val="en-US" w:eastAsia="zh-CN"/>
        </w:rPr>
        <w:t>水库</w:t>
      </w:r>
      <w:r>
        <w:rPr>
          <w:rFonts w:hint="eastAsia" w:ascii="方正仿宋_GBK" w:hAnsi="方正仿宋_GBK" w:eastAsia="方正仿宋_GBK" w:cs="方正仿宋_GBK"/>
          <w:b w:val="0"/>
          <w:bCs/>
          <w:color w:val="auto"/>
          <w:sz w:val="24"/>
          <w:szCs w:val="24"/>
          <w:highlight w:val="none"/>
        </w:rPr>
        <w:t>安全鉴定报告书。</w:t>
      </w:r>
    </w:p>
    <w:p w14:paraId="2195F861">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（5）安全鉴定报告书审定：鉴定审定单位审定并印发安全鉴定报告书。</w:t>
      </w:r>
    </w:p>
    <w:p w14:paraId="58AD5A2D">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2</w:t>
      </w:r>
      <w:r>
        <w:rPr>
          <w:rFonts w:hint="eastAsia" w:ascii="方正仿宋_GBK" w:hAnsi="方正仿宋_GBK" w:eastAsia="方正仿宋_GBK" w:cs="方正仿宋_GBK"/>
          <w:b w:val="0"/>
          <w:bCs/>
          <w:color w:val="auto"/>
          <w:sz w:val="24"/>
          <w:szCs w:val="24"/>
          <w:highlight w:val="none"/>
        </w:rPr>
        <w:t>、承包人应向发包人免费提供所有成果文件的电子文档</w:t>
      </w:r>
      <w:r>
        <w:rPr>
          <w:rFonts w:hint="eastAsia" w:ascii="方正仿宋_GBK" w:hAnsi="方正仿宋_GBK" w:eastAsia="方正仿宋_GBK" w:cs="方正仿宋_GBK"/>
          <w:b w:val="0"/>
          <w:bCs/>
          <w:color w:val="auto"/>
          <w:sz w:val="24"/>
          <w:szCs w:val="24"/>
          <w:highlight w:val="none"/>
          <w:lang w:val="en-US" w:eastAsia="zh-CN"/>
        </w:rPr>
        <w:t>及纸质</w:t>
      </w:r>
      <w:r>
        <w:rPr>
          <w:rFonts w:hint="eastAsia" w:ascii="方正仿宋_GBK" w:hAnsi="方正仿宋_GBK" w:eastAsia="方正仿宋_GBK" w:cs="方正仿宋_GBK"/>
          <w:b w:val="0"/>
          <w:bCs/>
          <w:color w:val="auto"/>
          <w:sz w:val="24"/>
          <w:szCs w:val="24"/>
          <w:highlight w:val="none"/>
        </w:rPr>
        <w:t>资料（包括但不限于WORD、EXCEL、PDF、DWG 等格式文件、图片及影像资料）。</w:t>
      </w:r>
    </w:p>
    <w:p w14:paraId="693582DC">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3</w:t>
      </w:r>
      <w:r>
        <w:rPr>
          <w:rFonts w:hint="eastAsia" w:ascii="方正仿宋_GBK" w:hAnsi="方正仿宋_GBK" w:eastAsia="方正仿宋_GBK" w:cs="方正仿宋_GBK"/>
          <w:b w:val="0"/>
          <w:bCs/>
          <w:color w:val="auto"/>
          <w:sz w:val="24"/>
          <w:szCs w:val="24"/>
          <w:highlight w:val="none"/>
        </w:rPr>
        <w:t>、安全鉴定工作周期：</w:t>
      </w:r>
    </w:p>
    <w:p w14:paraId="0388598B">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eastAsia="zh-CN"/>
        </w:rPr>
        <w:t>2025年12月31日前</w:t>
      </w:r>
      <w:r>
        <w:rPr>
          <w:rFonts w:hint="eastAsia" w:ascii="方正仿宋_GBK" w:hAnsi="方正仿宋_GBK" w:eastAsia="方正仿宋_GBK" w:cs="方正仿宋_GBK"/>
          <w:b w:val="0"/>
          <w:bCs/>
          <w:color w:val="auto"/>
          <w:sz w:val="24"/>
          <w:szCs w:val="24"/>
          <w:highlight w:val="none"/>
        </w:rPr>
        <w:t>，完成向阳、赵庄等7座小型水库大坝安全鉴定工作；2026年7月1日前完成瓦坊、先锋等31座小型水库大坝安全鉴定工作。</w:t>
      </w:r>
    </w:p>
    <w:p w14:paraId="66B48E8B">
      <w:pPr>
        <w:pStyle w:val="4"/>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注：</w:t>
      </w:r>
      <w:r>
        <w:rPr>
          <w:rFonts w:hint="eastAsia" w:ascii="方正仿宋_GBK" w:hAnsi="方正仿宋_GBK" w:eastAsia="方正仿宋_GBK" w:cs="方正仿宋_GBK"/>
          <w:b w:val="0"/>
          <w:bCs/>
          <w:color w:val="auto"/>
          <w:sz w:val="24"/>
          <w:szCs w:val="24"/>
          <w:highlight w:val="none"/>
        </w:rPr>
        <w:t>相关安全鉴定报告审查后 10 天内提交最终报告</w:t>
      </w:r>
      <w:r>
        <w:rPr>
          <w:rFonts w:hint="eastAsia" w:ascii="方正仿宋_GBK" w:hAnsi="方正仿宋_GBK" w:eastAsia="方正仿宋_GBK" w:cs="方正仿宋_GBK"/>
          <w:b w:val="0"/>
          <w:bCs/>
          <w:color w:val="auto"/>
          <w:sz w:val="24"/>
          <w:szCs w:val="24"/>
          <w:highlight w:val="none"/>
          <w:lang w:eastAsia="zh-CN"/>
        </w:rPr>
        <w:t>。</w:t>
      </w:r>
    </w:p>
    <w:bookmarkEnd w:id="2"/>
    <w:p w14:paraId="684166D5">
      <w:pPr>
        <w:pStyle w:val="4"/>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五、现场勘察</w:t>
      </w:r>
    </w:p>
    <w:p w14:paraId="5CB5B6C7">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bookmarkStart w:id="3" w:name="_Hlk203675682"/>
      <w:r>
        <w:rPr>
          <w:rFonts w:hint="eastAsia" w:ascii="方正仿宋_GBK" w:hAnsi="方正仿宋_GBK" w:eastAsia="方正仿宋_GBK" w:cs="方正仿宋_GBK"/>
          <w:b w:val="0"/>
          <w:bCs/>
          <w:color w:val="auto"/>
          <w:sz w:val="24"/>
          <w:szCs w:val="24"/>
          <w:highlight w:val="none"/>
          <w:lang w:val="en-US" w:eastAsia="zh-CN"/>
        </w:rPr>
        <w:t>1、</w:t>
      </w:r>
      <w:r>
        <w:rPr>
          <w:rFonts w:hint="eastAsia" w:ascii="方正仿宋_GBK" w:hAnsi="方正仿宋_GBK" w:eastAsia="方正仿宋_GBK" w:cs="方正仿宋_GBK"/>
          <w:b w:val="0"/>
          <w:bCs/>
          <w:color w:val="auto"/>
          <w:sz w:val="24"/>
          <w:szCs w:val="24"/>
          <w:highlight w:val="none"/>
        </w:rPr>
        <w:t>供应商自行勘察。</w:t>
      </w:r>
    </w:p>
    <w:p w14:paraId="5D99AD4F">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2、</w:t>
      </w:r>
      <w:r>
        <w:rPr>
          <w:rFonts w:hint="eastAsia" w:ascii="方正仿宋_GBK" w:hAnsi="方正仿宋_GBK" w:eastAsia="方正仿宋_GBK" w:cs="方正仿宋_GBK"/>
          <w:b w:val="0"/>
          <w:bCs/>
          <w:color w:val="auto"/>
          <w:sz w:val="24"/>
          <w:szCs w:val="24"/>
          <w:highlight w:val="none"/>
        </w:rPr>
        <w:t>采购人向供应商提供</w:t>
      </w:r>
      <w:r>
        <w:rPr>
          <w:rFonts w:hint="eastAsia" w:ascii="方正仿宋_GBK" w:hAnsi="方正仿宋_GBK" w:eastAsia="方正仿宋_GBK" w:cs="方正仿宋_GBK"/>
          <w:b w:val="0"/>
          <w:bCs/>
          <w:color w:val="auto"/>
          <w:sz w:val="24"/>
          <w:szCs w:val="24"/>
          <w:highlight w:val="none"/>
          <w:lang w:eastAsia="zh-CN"/>
        </w:rPr>
        <w:t>的</w:t>
      </w:r>
      <w:r>
        <w:rPr>
          <w:rFonts w:hint="eastAsia" w:ascii="方正仿宋_GBK" w:hAnsi="方正仿宋_GBK" w:eastAsia="方正仿宋_GBK" w:cs="方正仿宋_GBK"/>
          <w:b w:val="0"/>
          <w:bCs/>
          <w:color w:val="auto"/>
          <w:sz w:val="24"/>
          <w:szCs w:val="24"/>
          <w:highlight w:val="none"/>
        </w:rPr>
        <w:t>有关现场的资料和数据，是采购人现有的能使供应商利用的资料。采购人不对供应商据此作出的判断和决策负责。</w:t>
      </w:r>
    </w:p>
    <w:p w14:paraId="7D1DBF81">
      <w:pPr>
        <w:pStyle w:val="4"/>
        <w:keepNext w:val="0"/>
        <w:keepLines w:val="0"/>
        <w:pageBreakBefore w:val="0"/>
        <w:widowControl/>
        <w:kinsoku/>
        <w:wordWrap/>
        <w:overflowPunct/>
        <w:topLinePunct w:val="0"/>
        <w:autoSpaceDE/>
        <w:autoSpaceDN/>
        <w:bidi w:val="0"/>
        <w:adjustRightInd/>
        <w:snapToGrid/>
        <w:spacing w:line="520" w:lineRule="exact"/>
        <w:ind w:firstLine="420"/>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3、</w:t>
      </w:r>
      <w:r>
        <w:rPr>
          <w:rFonts w:hint="eastAsia" w:ascii="方正仿宋_GBK" w:hAnsi="方正仿宋_GBK" w:eastAsia="方正仿宋_GBK" w:cs="方正仿宋_GBK"/>
          <w:b w:val="0"/>
          <w:bCs/>
          <w:color w:val="auto"/>
          <w:sz w:val="24"/>
          <w:szCs w:val="24"/>
          <w:highlight w:val="none"/>
        </w:rPr>
        <w:t>供应商在现场勘察活动中须服从采购人指挥，不得因任何原因使采购人及其人员</w:t>
      </w:r>
      <w:r>
        <w:rPr>
          <w:rFonts w:hint="eastAsia" w:ascii="方正仿宋_GBK" w:hAnsi="方正仿宋_GBK" w:eastAsia="方正仿宋_GBK" w:cs="方正仿宋_GBK"/>
          <w:b w:val="0"/>
          <w:bCs/>
          <w:color w:val="auto"/>
          <w:sz w:val="24"/>
          <w:szCs w:val="24"/>
          <w:highlight w:val="none"/>
          <w:lang w:val="en-US" w:eastAsia="zh-CN"/>
        </w:rPr>
        <w:t>承担</w:t>
      </w:r>
      <w:r>
        <w:rPr>
          <w:rFonts w:hint="eastAsia" w:ascii="方正仿宋_GBK" w:hAnsi="方正仿宋_GBK" w:eastAsia="方正仿宋_GBK" w:cs="方正仿宋_GBK"/>
          <w:b w:val="0"/>
          <w:bCs/>
          <w:color w:val="auto"/>
          <w:sz w:val="24"/>
          <w:szCs w:val="24"/>
          <w:highlight w:val="none"/>
        </w:rPr>
        <w:t>损失。供应商在现场勘察中所发生的人员伤亡、财产损失自行负责。</w:t>
      </w:r>
      <w:bookmarkEnd w:id="1"/>
      <w:bookmarkEnd w:id="3"/>
    </w:p>
    <w:p w14:paraId="0344C8C0">
      <w:pPr>
        <w:rPr>
          <w:rFonts w:hint="eastAsia" w:ascii="方正仿宋_GBK" w:hAnsi="方正仿宋_GBK" w:eastAsia="方正仿宋_GBK" w:cs="方正仿宋_GBK"/>
          <w:b/>
          <w:bCs/>
          <w:color w:val="auto"/>
          <w:sz w:val="28"/>
          <w:szCs w:val="28"/>
          <w:highlight w:val="none"/>
          <w:lang w:val="en-US" w:eastAsia="zh-CN"/>
        </w:rPr>
      </w:pPr>
    </w:p>
    <w:p w14:paraId="1D2AD6D1">
      <w:pPr>
        <w:rPr>
          <w:rFonts w:hint="eastAsia" w:ascii="方正仿宋_GBK" w:hAnsi="方正仿宋_GBK" w:eastAsia="方正仿宋_GBK" w:cs="方正仿宋_GBK"/>
          <w:b/>
          <w:bCs/>
          <w:color w:val="auto"/>
          <w:sz w:val="28"/>
          <w:szCs w:val="28"/>
          <w:highlight w:val="none"/>
          <w:lang w:val="en-US" w:eastAsia="zh-CN"/>
        </w:rPr>
      </w:pPr>
    </w:p>
    <w:p w14:paraId="69B94B9A">
      <w:pPr>
        <w:rPr>
          <w:rFonts w:hint="eastAsia" w:ascii="方正仿宋_GBK" w:hAnsi="方正仿宋_GBK" w:eastAsia="方正仿宋_GBK" w:cs="方正仿宋_GBK"/>
          <w:b/>
          <w:bCs/>
          <w:color w:val="auto"/>
          <w:sz w:val="28"/>
          <w:szCs w:val="28"/>
          <w:highlight w:val="none"/>
          <w:lang w:val="en-US" w:eastAsia="zh-CN"/>
        </w:rPr>
      </w:pPr>
    </w:p>
    <w:p w14:paraId="32B38BA7">
      <w:pPr>
        <w:rPr>
          <w:rFonts w:hint="eastAsia" w:ascii="方正仿宋_GBK" w:hAnsi="方正仿宋_GBK" w:eastAsia="方正仿宋_GBK" w:cs="方正仿宋_GBK"/>
          <w:b/>
          <w:bCs/>
          <w:color w:val="auto"/>
          <w:sz w:val="28"/>
          <w:szCs w:val="28"/>
          <w:highlight w:val="none"/>
          <w:lang w:val="en-US" w:eastAsia="zh-CN"/>
        </w:rPr>
      </w:pPr>
    </w:p>
    <w:p w14:paraId="4FD26147">
      <w:pPr>
        <w:rPr>
          <w:rFonts w:hint="eastAsia" w:ascii="方正仿宋_GBK" w:hAnsi="方正仿宋_GBK" w:eastAsia="方正仿宋_GBK" w:cs="方正仿宋_GBK"/>
          <w:b/>
          <w:bCs/>
          <w:color w:val="auto"/>
          <w:sz w:val="28"/>
          <w:szCs w:val="28"/>
          <w:highlight w:val="none"/>
          <w:lang w:val="en-US" w:eastAsia="zh-CN"/>
        </w:rPr>
      </w:pPr>
    </w:p>
    <w:p w14:paraId="48E0E74C">
      <w:pPr>
        <w:rPr>
          <w:rFonts w:hint="eastAsia" w:ascii="方正仿宋_GBK" w:hAnsi="方正仿宋_GBK" w:eastAsia="方正仿宋_GBK" w:cs="方正仿宋_GBK"/>
          <w:b/>
          <w:bCs/>
          <w:color w:val="auto"/>
          <w:sz w:val="28"/>
          <w:szCs w:val="28"/>
          <w:highlight w:val="none"/>
          <w:lang w:val="en-US" w:eastAsia="zh-CN"/>
        </w:rPr>
      </w:pPr>
    </w:p>
    <w:p w14:paraId="3379777F">
      <w:pPr>
        <w:rPr>
          <w:rFonts w:hint="eastAsia" w:ascii="方正仿宋_GBK" w:hAnsi="方正仿宋_GBK" w:eastAsia="方正仿宋_GBK" w:cs="方正仿宋_GBK"/>
          <w:b/>
          <w:bCs/>
          <w:color w:val="auto"/>
          <w:sz w:val="28"/>
          <w:szCs w:val="28"/>
          <w:highlight w:val="none"/>
          <w:lang w:val="en-US" w:eastAsia="zh-CN"/>
        </w:rPr>
      </w:pPr>
    </w:p>
    <w:p w14:paraId="7CE3B593">
      <w:pPr>
        <w:rPr>
          <w:rFonts w:hint="eastAsia" w:ascii="方正仿宋_GBK" w:hAnsi="方正仿宋_GBK" w:eastAsia="方正仿宋_GBK" w:cs="方正仿宋_GBK"/>
          <w:b/>
          <w:bCs/>
          <w:color w:val="auto"/>
          <w:sz w:val="28"/>
          <w:szCs w:val="28"/>
          <w:highlight w:val="none"/>
          <w:lang w:val="en-US" w:eastAsia="zh-CN"/>
        </w:rPr>
      </w:pPr>
    </w:p>
    <w:p w14:paraId="32AEB6D1">
      <w:pPr>
        <w:rPr>
          <w:rFonts w:hint="eastAsia" w:ascii="方正仿宋_GBK" w:hAnsi="方正仿宋_GBK" w:eastAsia="方正仿宋_GBK" w:cs="方正仿宋_GBK"/>
          <w:b/>
          <w:bCs/>
          <w:color w:val="auto"/>
          <w:sz w:val="28"/>
          <w:szCs w:val="28"/>
          <w:highlight w:val="none"/>
          <w:lang w:val="en-US" w:eastAsia="zh-CN"/>
        </w:rPr>
      </w:pPr>
    </w:p>
    <w:p w14:paraId="264D592F">
      <w:pPr>
        <w:rPr>
          <w:rFonts w:hint="eastAsia" w:ascii="方正仿宋_GBK" w:hAnsi="方正仿宋_GBK" w:eastAsia="方正仿宋_GBK" w:cs="方正仿宋_GBK"/>
          <w:b/>
          <w:bCs/>
          <w:color w:val="auto"/>
          <w:sz w:val="28"/>
          <w:szCs w:val="28"/>
          <w:highlight w:val="none"/>
          <w:lang w:val="en-US" w:eastAsia="zh-CN"/>
        </w:rPr>
      </w:pPr>
    </w:p>
    <w:p w14:paraId="2E577A53">
      <w:pPr>
        <w:rPr>
          <w:rFonts w:hint="eastAsia" w:ascii="方正仿宋_GBK" w:hAnsi="方正仿宋_GBK" w:eastAsia="方正仿宋_GBK" w:cs="方正仿宋_GBK"/>
          <w:b/>
          <w:bCs/>
          <w:color w:val="auto"/>
          <w:sz w:val="28"/>
          <w:szCs w:val="28"/>
          <w:highlight w:val="none"/>
          <w:lang w:val="en-US" w:eastAsia="zh-CN"/>
        </w:rPr>
      </w:pPr>
    </w:p>
    <w:p w14:paraId="381C99D8">
      <w:pPr>
        <w:rPr>
          <w:rFonts w:hint="eastAsia" w:ascii="方正仿宋_GBK" w:hAnsi="方正仿宋_GBK" w:eastAsia="方正仿宋_GBK" w:cs="方正仿宋_GBK"/>
          <w:b/>
          <w:bCs/>
          <w:color w:val="auto"/>
          <w:sz w:val="28"/>
          <w:szCs w:val="28"/>
          <w:highlight w:val="none"/>
          <w:lang w:val="en-US" w:eastAsia="zh-CN"/>
        </w:rPr>
      </w:pPr>
    </w:p>
    <w:p w14:paraId="334969C2">
      <w:pPr>
        <w:rPr>
          <w:rFonts w:hint="eastAsia" w:ascii="方正仿宋_GBK" w:hAnsi="方正仿宋_GBK" w:eastAsia="方正仿宋_GBK" w:cs="方正仿宋_GBK"/>
          <w:b/>
          <w:bCs/>
          <w:color w:val="auto"/>
          <w:sz w:val="28"/>
          <w:szCs w:val="28"/>
          <w:highlight w:val="none"/>
          <w:lang w:val="en-US" w:eastAsia="zh-CN"/>
        </w:rPr>
      </w:pPr>
    </w:p>
    <w:p w14:paraId="647E607B">
      <w:pPr>
        <w:rPr>
          <w:rFonts w:hint="eastAsia" w:ascii="方正仿宋_GBK" w:hAnsi="方正仿宋_GBK" w:eastAsia="方正仿宋_GBK" w:cs="方正仿宋_GBK"/>
          <w:b/>
          <w:bCs/>
          <w:color w:val="auto"/>
          <w:sz w:val="28"/>
          <w:szCs w:val="28"/>
          <w:highlight w:val="none"/>
          <w:lang w:val="en-US" w:eastAsia="zh-CN"/>
        </w:rPr>
      </w:pPr>
    </w:p>
    <w:p w14:paraId="5D29096F">
      <w:pPr>
        <w:rPr>
          <w:rFonts w:hint="eastAsia" w:ascii="方正仿宋_GBK" w:hAnsi="方正仿宋_GBK" w:eastAsia="方正仿宋_GBK" w:cs="方正仿宋_GBK"/>
          <w:b/>
          <w:bCs/>
          <w:color w:val="auto"/>
          <w:sz w:val="28"/>
          <w:szCs w:val="28"/>
          <w:highlight w:val="none"/>
          <w:lang w:val="en-US" w:eastAsia="zh-CN"/>
        </w:rPr>
      </w:pPr>
    </w:p>
    <w:p w14:paraId="458C98C9">
      <w:pP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附件：</w:t>
      </w:r>
    </w:p>
    <w:p w14:paraId="206F8240">
      <w:pPr>
        <w:spacing w:line="480" w:lineRule="auto"/>
        <w:jc w:val="center"/>
        <w:rPr>
          <w:rFonts w:hint="default"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泗洪县向阳等38座小型水库大坝安全鉴定项目考核制度</w:t>
      </w:r>
    </w:p>
    <w:p w14:paraId="2BFE8D6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1、考核方式：对供应商的考核采取日常问题记录、不定期综合考评相结合的考核原则，供应商项目负责人应在考核结果表上签字确认。 </w:t>
      </w:r>
    </w:p>
    <w:p w14:paraId="74A5A1F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2、考核标准 </w:t>
      </w:r>
    </w:p>
    <w:p w14:paraId="103DAFD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(1)考核成绩在 90 分以上（含90分）全额支付当期服务费用； </w:t>
      </w:r>
    </w:p>
    <w:p w14:paraId="5E5D905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(2)考核成绩在 90-85 分（含85分）之间的，扣除当期服务费的2%； </w:t>
      </w:r>
    </w:p>
    <w:p w14:paraId="75F0616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(3)考核成绩在 85-80 分（含80分）之间的，扣除当期服务费的5%； </w:t>
      </w:r>
    </w:p>
    <w:p w14:paraId="002BB08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(4)考核成绩在 80 分以下的，扣除当期服务费的10%； </w:t>
      </w:r>
    </w:p>
    <w:p w14:paraId="5C38920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textAlignment w:val="auto"/>
        <w:rPr>
          <w:rStyle w:val="6"/>
          <w:rFonts w:hint="eastAsia" w:ascii="仿宋" w:hAnsi="仿宋" w:eastAsia="仿宋" w:cs="仿宋"/>
          <w:color w:val="auto"/>
          <w:sz w:val="24"/>
          <w:szCs w:val="24"/>
          <w:highlight w:val="none"/>
          <w:lang w:val="en-US" w:eastAsia="zh-CN"/>
        </w:rPr>
      </w:pPr>
      <w:r>
        <w:rPr>
          <w:rStyle w:val="6"/>
          <w:rFonts w:hint="eastAsia" w:ascii="仿宋" w:hAnsi="仿宋" w:eastAsia="仿宋" w:cs="仿宋"/>
          <w:color w:val="auto"/>
          <w:sz w:val="24"/>
          <w:szCs w:val="24"/>
          <w:highlight w:val="none"/>
          <w:lang w:val="en-US" w:eastAsia="zh-CN"/>
        </w:rPr>
        <w:t xml:space="preserve">(5)履约期间，中标单位连续二次考核成绩为 80 分以下的，采购单位有权单方终止合同。 </w:t>
      </w:r>
    </w:p>
    <w:tbl>
      <w:tblPr>
        <w:tblStyle w:val="2"/>
        <w:tblW w:w="90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977"/>
        <w:gridCol w:w="4609"/>
        <w:gridCol w:w="1268"/>
      </w:tblGrid>
      <w:tr w14:paraId="0C07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187" w:type="dxa"/>
            <w:noWrap w:val="0"/>
            <w:vAlign w:val="center"/>
          </w:tcPr>
          <w:p w14:paraId="3C8B837E">
            <w:pPr>
              <w:pStyle w:val="7"/>
              <w:jc w:val="center"/>
              <w:rPr>
                <w:rFonts w:hint="default" w:ascii="仿宋" w:hAnsi="仿宋" w:eastAsia="仿宋" w:cs="仿宋"/>
                <w:b/>
                <w:bCs/>
                <w:color w:val="auto"/>
                <w:kern w:val="2"/>
                <w:sz w:val="21"/>
                <w:szCs w:val="21"/>
                <w:highlight w:val="none"/>
                <w:lang w:val="en-US" w:eastAsia="zh-CN"/>
              </w:rPr>
            </w:pPr>
            <w:r>
              <w:rPr>
                <w:rFonts w:hint="eastAsia" w:ascii="仿宋" w:hAnsi="仿宋" w:eastAsia="仿宋" w:cs="仿宋"/>
                <w:b/>
                <w:bCs/>
                <w:color w:val="auto"/>
                <w:kern w:val="2"/>
                <w:sz w:val="21"/>
                <w:szCs w:val="21"/>
                <w:highlight w:val="none"/>
                <w:lang w:val="en-US" w:eastAsia="zh-CN"/>
              </w:rPr>
              <w:t>工作类别</w:t>
            </w:r>
          </w:p>
        </w:tc>
        <w:tc>
          <w:tcPr>
            <w:tcW w:w="1977" w:type="dxa"/>
            <w:noWrap w:val="0"/>
            <w:vAlign w:val="center"/>
          </w:tcPr>
          <w:p w14:paraId="305B507C">
            <w:pPr>
              <w:pStyle w:val="7"/>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检查</w:t>
            </w:r>
            <w:r>
              <w:rPr>
                <w:rFonts w:hint="eastAsia" w:ascii="仿宋" w:hAnsi="仿宋" w:eastAsia="仿宋" w:cs="仿宋"/>
                <w:b/>
                <w:bCs/>
                <w:color w:val="auto"/>
                <w:kern w:val="2"/>
                <w:sz w:val="21"/>
                <w:szCs w:val="21"/>
                <w:highlight w:val="none"/>
              </w:rPr>
              <w:t>内容</w:t>
            </w:r>
          </w:p>
        </w:tc>
        <w:tc>
          <w:tcPr>
            <w:tcW w:w="4609" w:type="dxa"/>
            <w:noWrap w:val="0"/>
            <w:vAlign w:val="center"/>
          </w:tcPr>
          <w:p w14:paraId="052DD731">
            <w:pPr>
              <w:pStyle w:val="7"/>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标准</w:t>
            </w:r>
          </w:p>
        </w:tc>
        <w:tc>
          <w:tcPr>
            <w:tcW w:w="1268" w:type="dxa"/>
            <w:noWrap w:val="0"/>
            <w:vAlign w:val="center"/>
          </w:tcPr>
          <w:p w14:paraId="584F771F">
            <w:pPr>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sz w:val="21"/>
                <w:szCs w:val="21"/>
                <w:highlight w:val="none"/>
              </w:rPr>
              <w:t>评分标准</w:t>
            </w:r>
          </w:p>
        </w:tc>
      </w:tr>
      <w:tr w14:paraId="7CA7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1187" w:type="dxa"/>
            <w:vMerge w:val="restart"/>
            <w:noWrap w:val="0"/>
            <w:vAlign w:val="center"/>
          </w:tcPr>
          <w:p w14:paraId="49AB7D57">
            <w:pPr>
              <w:pStyle w:val="7"/>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技术要求</w:t>
            </w:r>
          </w:p>
        </w:tc>
        <w:tc>
          <w:tcPr>
            <w:tcW w:w="1977" w:type="dxa"/>
            <w:noWrap w:val="0"/>
            <w:vAlign w:val="center"/>
          </w:tcPr>
          <w:p w14:paraId="62E06740">
            <w:pPr>
              <w:pStyle w:val="7"/>
              <w:jc w:val="center"/>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现状调查分析</w:t>
            </w:r>
          </w:p>
        </w:tc>
        <w:tc>
          <w:tcPr>
            <w:tcW w:w="4609" w:type="dxa"/>
            <w:noWrap w:val="0"/>
            <w:vAlign w:val="center"/>
          </w:tcPr>
          <w:p w14:paraId="44905A5E">
            <w:pPr>
              <w:pStyle w:val="7"/>
              <w:jc w:val="left"/>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鉴定</w:t>
            </w:r>
            <w:r>
              <w:rPr>
                <w:rFonts w:hint="eastAsia" w:ascii="仿宋" w:hAnsi="仿宋" w:eastAsia="仿宋" w:cs="仿宋"/>
                <w:color w:val="auto"/>
                <w:kern w:val="2"/>
                <w:sz w:val="21"/>
                <w:szCs w:val="21"/>
                <w:highlight w:val="none"/>
                <w:lang w:val="en-US" w:eastAsia="zh-CN"/>
              </w:rPr>
              <w:t>承担</w:t>
            </w:r>
            <w:r>
              <w:rPr>
                <w:rFonts w:hint="default" w:ascii="仿宋" w:hAnsi="仿宋" w:eastAsia="仿宋" w:cs="仿宋"/>
                <w:color w:val="auto"/>
                <w:kern w:val="2"/>
                <w:sz w:val="21"/>
                <w:szCs w:val="21"/>
                <w:highlight w:val="none"/>
                <w:lang w:val="en-US" w:eastAsia="zh-CN"/>
              </w:rPr>
              <w:t>单位应在分析设计、施工、更新改造、运行管理资料的基础上开展现状调查工作，形成《水库现状调查分析报告》</w:t>
            </w:r>
            <w:r>
              <w:rPr>
                <w:rFonts w:hint="eastAsia" w:ascii="仿宋" w:hAnsi="仿宋" w:eastAsia="仿宋" w:cs="仿宋"/>
                <w:color w:val="auto"/>
                <w:kern w:val="2"/>
                <w:sz w:val="21"/>
                <w:szCs w:val="21"/>
                <w:highlight w:val="none"/>
                <w:lang w:val="en-US" w:eastAsia="zh-CN"/>
              </w:rPr>
              <w:t>。</w:t>
            </w:r>
          </w:p>
        </w:tc>
        <w:tc>
          <w:tcPr>
            <w:tcW w:w="1268" w:type="dxa"/>
            <w:noWrap w:val="0"/>
            <w:vAlign w:val="center"/>
          </w:tcPr>
          <w:p w14:paraId="1A2D06D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12E59560">
            <w:pPr>
              <w:jc w:val="center"/>
              <w:rPr>
                <w:rFonts w:hint="default" w:ascii="仿宋" w:hAnsi="仿宋" w:eastAsia="仿宋" w:cs="仿宋"/>
                <w:color w:val="auto"/>
                <w:kern w:val="2"/>
                <w:sz w:val="21"/>
                <w:szCs w:val="21"/>
                <w:highlight w:val="none"/>
                <w:lang w:val="en-US"/>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0D47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187" w:type="dxa"/>
            <w:vMerge w:val="continue"/>
            <w:noWrap w:val="0"/>
            <w:vAlign w:val="center"/>
          </w:tcPr>
          <w:p w14:paraId="5F427DFF">
            <w:pPr>
              <w:pStyle w:val="7"/>
              <w:jc w:val="left"/>
              <w:rPr>
                <w:rFonts w:hint="eastAsia" w:ascii="仿宋" w:hAnsi="仿宋" w:eastAsia="仿宋" w:cs="仿宋"/>
                <w:color w:val="auto"/>
                <w:kern w:val="2"/>
                <w:sz w:val="21"/>
                <w:szCs w:val="21"/>
                <w:highlight w:val="none"/>
              </w:rPr>
            </w:pPr>
          </w:p>
        </w:tc>
        <w:tc>
          <w:tcPr>
            <w:tcW w:w="1977" w:type="dxa"/>
            <w:tcBorders>
              <w:bottom w:val="single" w:color="auto" w:sz="4" w:space="0"/>
            </w:tcBorders>
            <w:noWrap w:val="0"/>
            <w:vAlign w:val="center"/>
          </w:tcPr>
          <w:p w14:paraId="2BBCECC2">
            <w:pPr>
              <w:pStyle w:val="7"/>
              <w:jc w:val="center"/>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现场安全检测</w:t>
            </w:r>
          </w:p>
        </w:tc>
        <w:tc>
          <w:tcPr>
            <w:tcW w:w="4609" w:type="dxa"/>
            <w:tcBorders>
              <w:bottom w:val="single" w:color="auto" w:sz="4" w:space="0"/>
            </w:tcBorders>
            <w:noWrap w:val="0"/>
            <w:vAlign w:val="center"/>
          </w:tcPr>
          <w:p w14:paraId="136DB490">
            <w:pPr>
              <w:pStyle w:val="7"/>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鉴定承担单位根据《水库大坝安全鉴定办法》等有关要求开展水库安全检测，对安全状况进行分析评价，形成《现场安全检测报告》</w:t>
            </w:r>
          </w:p>
        </w:tc>
        <w:tc>
          <w:tcPr>
            <w:tcW w:w="1268" w:type="dxa"/>
            <w:tcBorders>
              <w:bottom w:val="single" w:color="auto" w:sz="4" w:space="0"/>
            </w:tcBorders>
            <w:noWrap w:val="0"/>
            <w:vAlign w:val="center"/>
          </w:tcPr>
          <w:p w14:paraId="58E8242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670095D7">
            <w:pPr>
              <w:jc w:val="center"/>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2636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7" w:type="dxa"/>
            <w:vMerge w:val="continue"/>
            <w:noWrap w:val="0"/>
            <w:vAlign w:val="center"/>
          </w:tcPr>
          <w:p w14:paraId="78667320">
            <w:pPr>
              <w:pStyle w:val="7"/>
              <w:jc w:val="left"/>
              <w:rPr>
                <w:rFonts w:hint="eastAsia" w:ascii="仿宋" w:hAnsi="仿宋" w:eastAsia="仿宋" w:cs="仿宋"/>
                <w:color w:val="auto"/>
                <w:kern w:val="2"/>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DC3744C">
            <w:pPr>
              <w:pStyle w:val="7"/>
              <w:jc w:val="center"/>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工程复核计算</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136C620C">
            <w:pPr>
              <w:pStyle w:val="7"/>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鉴定承担单位应根据对水库工程规模、建筑物、金属结构等复核计算分析成果，对水库建筑物、金属结构分别进行评价，并对水库安全类别进行综合评价，形成《工程复核计算分析报告》。</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6C64C9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45A8AA45">
            <w:pPr>
              <w:jc w:val="center"/>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30E4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7" w:type="dxa"/>
            <w:vMerge w:val="continue"/>
            <w:noWrap w:val="0"/>
            <w:vAlign w:val="center"/>
          </w:tcPr>
          <w:p w14:paraId="04219893">
            <w:pPr>
              <w:pStyle w:val="7"/>
              <w:jc w:val="left"/>
              <w:rPr>
                <w:rFonts w:hint="eastAsia" w:ascii="仿宋" w:hAnsi="仿宋" w:eastAsia="仿宋" w:cs="仿宋"/>
                <w:color w:val="auto"/>
                <w:kern w:val="2"/>
                <w:sz w:val="21"/>
                <w:szCs w:val="21"/>
                <w:highlight w:val="none"/>
              </w:rPr>
            </w:pPr>
          </w:p>
        </w:tc>
        <w:tc>
          <w:tcPr>
            <w:tcW w:w="1977" w:type="dxa"/>
            <w:tcBorders>
              <w:top w:val="single" w:color="auto" w:sz="4" w:space="0"/>
              <w:bottom w:val="single" w:color="auto" w:sz="4" w:space="0"/>
            </w:tcBorders>
            <w:noWrap w:val="0"/>
            <w:vAlign w:val="center"/>
          </w:tcPr>
          <w:p w14:paraId="618DAD0D">
            <w:pPr>
              <w:pStyle w:val="7"/>
              <w:jc w:val="center"/>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安全评价</w:t>
            </w:r>
          </w:p>
        </w:tc>
        <w:tc>
          <w:tcPr>
            <w:tcW w:w="4609" w:type="dxa"/>
            <w:tcBorders>
              <w:top w:val="single" w:color="auto" w:sz="4" w:space="0"/>
              <w:bottom w:val="single" w:color="auto" w:sz="4" w:space="0"/>
            </w:tcBorders>
            <w:noWrap w:val="0"/>
            <w:vAlign w:val="center"/>
          </w:tcPr>
          <w:p w14:paraId="09A06303">
            <w:pPr>
              <w:pStyle w:val="7"/>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由鉴定审定单位或委托有关单位，组织安全鉴定审查，成立审查专家组，采取现场检查、召开审查会议等形式，对水库安全鉴定报告成果进行审查，形成水库安全鉴定报告书。</w:t>
            </w:r>
          </w:p>
        </w:tc>
        <w:tc>
          <w:tcPr>
            <w:tcW w:w="1268" w:type="dxa"/>
            <w:tcBorders>
              <w:top w:val="single" w:color="auto" w:sz="4" w:space="0"/>
              <w:bottom w:val="single" w:color="auto" w:sz="4" w:space="0"/>
            </w:tcBorders>
            <w:noWrap w:val="0"/>
            <w:vAlign w:val="center"/>
          </w:tcPr>
          <w:p w14:paraId="6B87865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085B5752">
            <w:pPr>
              <w:jc w:val="center"/>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59F5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7" w:type="dxa"/>
            <w:vMerge w:val="continue"/>
            <w:noWrap w:val="0"/>
            <w:vAlign w:val="center"/>
          </w:tcPr>
          <w:p w14:paraId="26663810">
            <w:pPr>
              <w:pStyle w:val="7"/>
              <w:jc w:val="left"/>
              <w:rPr>
                <w:rFonts w:hint="eastAsia" w:ascii="仿宋" w:hAnsi="仿宋" w:eastAsia="仿宋" w:cs="仿宋"/>
                <w:color w:val="auto"/>
                <w:kern w:val="2"/>
                <w:sz w:val="21"/>
                <w:szCs w:val="21"/>
                <w:highlight w:val="none"/>
              </w:rPr>
            </w:pPr>
          </w:p>
        </w:tc>
        <w:tc>
          <w:tcPr>
            <w:tcW w:w="1977" w:type="dxa"/>
            <w:tcBorders>
              <w:top w:val="single" w:color="auto" w:sz="4" w:space="0"/>
              <w:bottom w:val="single" w:color="auto" w:sz="4" w:space="0"/>
            </w:tcBorders>
            <w:noWrap w:val="0"/>
            <w:vAlign w:val="center"/>
          </w:tcPr>
          <w:p w14:paraId="74CCCB13">
            <w:pPr>
              <w:pStyle w:val="7"/>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安全鉴定报告书</w:t>
            </w:r>
          </w:p>
        </w:tc>
        <w:tc>
          <w:tcPr>
            <w:tcW w:w="4609" w:type="dxa"/>
            <w:tcBorders>
              <w:top w:val="single" w:color="auto" w:sz="4" w:space="0"/>
              <w:bottom w:val="single" w:color="auto" w:sz="4" w:space="0"/>
            </w:tcBorders>
            <w:noWrap w:val="0"/>
            <w:vAlign w:val="center"/>
          </w:tcPr>
          <w:p w14:paraId="4B8EF5FB">
            <w:pPr>
              <w:pStyle w:val="7"/>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鉴定审定单位审定并印发安全鉴定报告书。</w:t>
            </w:r>
          </w:p>
        </w:tc>
        <w:tc>
          <w:tcPr>
            <w:tcW w:w="1268" w:type="dxa"/>
            <w:tcBorders>
              <w:top w:val="single" w:color="auto" w:sz="4" w:space="0"/>
              <w:bottom w:val="single" w:color="auto" w:sz="4" w:space="0"/>
            </w:tcBorders>
            <w:noWrap w:val="0"/>
            <w:vAlign w:val="center"/>
          </w:tcPr>
          <w:p w14:paraId="04E9FAF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55A03D1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3DEA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1187" w:type="dxa"/>
            <w:noWrap w:val="0"/>
            <w:vAlign w:val="center"/>
          </w:tcPr>
          <w:p w14:paraId="5B753218">
            <w:pPr>
              <w:pStyle w:val="7"/>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编制成果</w:t>
            </w:r>
          </w:p>
        </w:tc>
        <w:tc>
          <w:tcPr>
            <w:tcW w:w="1977" w:type="dxa"/>
            <w:tcBorders>
              <w:top w:val="single" w:color="auto" w:sz="4" w:space="0"/>
              <w:bottom w:val="single" w:color="auto" w:sz="4" w:space="0"/>
            </w:tcBorders>
            <w:noWrap w:val="0"/>
            <w:vAlign w:val="center"/>
          </w:tcPr>
          <w:p w14:paraId="04A36CEE">
            <w:pPr>
              <w:pStyle w:val="7"/>
              <w:jc w:val="center"/>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rPr>
              <w:t>免费提供所有成果文件的电子文档</w:t>
            </w:r>
            <w:r>
              <w:rPr>
                <w:rFonts w:hint="eastAsia" w:ascii="仿宋" w:hAnsi="仿宋" w:eastAsia="仿宋" w:cs="仿宋"/>
                <w:color w:val="auto"/>
                <w:kern w:val="2"/>
                <w:sz w:val="21"/>
                <w:szCs w:val="21"/>
                <w:highlight w:val="none"/>
                <w:lang w:val="en-US" w:eastAsia="zh-CN"/>
              </w:rPr>
              <w:t>及纸质</w:t>
            </w:r>
            <w:r>
              <w:rPr>
                <w:rFonts w:hint="default" w:ascii="仿宋" w:hAnsi="仿宋" w:eastAsia="仿宋" w:cs="仿宋"/>
                <w:color w:val="auto"/>
                <w:kern w:val="2"/>
                <w:sz w:val="21"/>
                <w:szCs w:val="21"/>
                <w:highlight w:val="none"/>
                <w:lang w:val="en-US" w:eastAsia="zh-CN"/>
              </w:rPr>
              <w:t>资料</w:t>
            </w:r>
          </w:p>
        </w:tc>
        <w:tc>
          <w:tcPr>
            <w:tcW w:w="4609" w:type="dxa"/>
            <w:tcBorders>
              <w:top w:val="single" w:color="auto" w:sz="4" w:space="0"/>
              <w:bottom w:val="single" w:color="auto" w:sz="4" w:space="0"/>
            </w:tcBorders>
            <w:noWrap w:val="0"/>
            <w:vAlign w:val="center"/>
          </w:tcPr>
          <w:p w14:paraId="74B87167">
            <w:pPr>
              <w:pStyle w:val="7"/>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承包人应向发包人免费提供所有成果文件的电子文档资料（包括但不限于 WORD、EXCEL、PDF、DWG 等格式文件、图片及影像资料）。</w:t>
            </w:r>
          </w:p>
        </w:tc>
        <w:tc>
          <w:tcPr>
            <w:tcW w:w="1268" w:type="dxa"/>
            <w:tcBorders>
              <w:top w:val="single" w:color="auto" w:sz="4" w:space="0"/>
              <w:bottom w:val="single" w:color="auto" w:sz="4" w:space="0"/>
            </w:tcBorders>
            <w:noWrap w:val="0"/>
            <w:vAlign w:val="center"/>
          </w:tcPr>
          <w:p w14:paraId="3A80060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77ED3E12">
            <w:pPr>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r w14:paraId="2018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3164" w:type="dxa"/>
            <w:gridSpan w:val="2"/>
            <w:noWrap w:val="0"/>
            <w:vAlign w:val="center"/>
          </w:tcPr>
          <w:p w14:paraId="45CA6641">
            <w:pPr>
              <w:pStyle w:val="7"/>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其它</w:t>
            </w:r>
          </w:p>
        </w:tc>
        <w:tc>
          <w:tcPr>
            <w:tcW w:w="4609" w:type="dxa"/>
            <w:tcBorders>
              <w:top w:val="single" w:color="auto" w:sz="4" w:space="0"/>
            </w:tcBorders>
            <w:noWrap w:val="0"/>
            <w:vAlign w:val="center"/>
          </w:tcPr>
          <w:p w14:paraId="3AB97E7E">
            <w:pPr>
              <w:pStyle w:val="7"/>
              <w:jc w:val="left"/>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《水库大坝安全鉴定办法》及其它技术规范、规程要求完成的内容</w:t>
            </w:r>
          </w:p>
        </w:tc>
        <w:tc>
          <w:tcPr>
            <w:tcW w:w="1268" w:type="dxa"/>
            <w:tcBorders>
              <w:top w:val="single" w:color="auto" w:sz="4" w:space="0"/>
            </w:tcBorders>
            <w:noWrap w:val="0"/>
            <w:vAlign w:val="center"/>
          </w:tcPr>
          <w:p w14:paraId="5A87719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每有一处错误或不全面</w:t>
            </w:r>
          </w:p>
          <w:p w14:paraId="23C4677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2分/次</w:t>
            </w:r>
          </w:p>
        </w:tc>
      </w:tr>
    </w:tbl>
    <w:p w14:paraId="5D3983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DEA9FD8-E146-4EDD-A477-5DFF4AA31A62}"/>
  </w:font>
  <w:font w:name="仿宋">
    <w:panose1 w:val="02010609060101010101"/>
    <w:charset w:val="86"/>
    <w:family w:val="auto"/>
    <w:pitch w:val="default"/>
    <w:sig w:usb0="800002BF" w:usb1="38CF7CFA" w:usb2="00000016" w:usb3="00000000" w:csb0="00040001" w:csb1="00000000"/>
    <w:embedRegular r:id="rId2" w:fontKey="{1B3A3D21-3272-49BC-B638-032EEA7B7150}"/>
  </w:font>
  <w:font w:name="方正仿宋_GBK">
    <w:panose1 w:val="02000000000000000000"/>
    <w:charset w:val="86"/>
    <w:family w:val="auto"/>
    <w:pitch w:val="default"/>
    <w:sig w:usb0="A00002BF" w:usb1="38CF7CFA" w:usb2="00082016" w:usb3="00000000" w:csb0="00040001" w:csb1="00000000"/>
    <w:embedRegular r:id="rId3" w:fontKey="{72CB0B9B-9116-40D0-9031-28B9BC9A5E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80937"/>
    <w:rsid w:val="1331204B"/>
    <w:rsid w:val="6353057F"/>
    <w:rsid w:val="7F2A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0"/>
    <w:qFormat/>
    <w:uiPriority w:val="0"/>
    <w:rPr>
      <w:rFonts w:hint="default" w:ascii="黑体" w:hAnsi="黑体" w:eastAsia="黑体" w:cs="黑体"/>
      <w:b/>
      <w:sz w:val="32"/>
      <w:szCs w:val="24"/>
      <w:lang w:val="en-US" w:eastAsia="zh-CN" w:bidi="ar-SA"/>
    </w:rPr>
  </w:style>
  <w:style w:type="paragraph" w:customStyle="1" w:styleId="5">
    <w:name w:val="正文_16"/>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6">
    <w:name w:val="默认段落字体1"/>
    <w:link w:val="1"/>
    <w:unhideWhenUsed/>
    <w:qFormat/>
    <w:uiPriority w:val="1"/>
    <w:rPr>
      <w:rFonts w:hint="default" w:ascii="Times New Roman" w:hAnsi="Times New Roman" w:eastAsia="宋体" w:cs="Times New Roman"/>
      <w:sz w:val="21"/>
      <w:szCs w:val="22"/>
      <w:lang w:val="en-US" w:eastAsia="zh-CN" w:bidi="ar-SA"/>
    </w:rPr>
  </w:style>
  <w:style w:type="paragraph" w:customStyle="1" w:styleId="7">
    <w:name w:val="正文1_0"/>
    <w:basedOn w:val="8"/>
    <w:next w:val="10"/>
    <w:qFormat/>
    <w:uiPriority w:val="0"/>
    <w:pPr>
      <w:widowControl w:val="0"/>
      <w:jc w:val="both"/>
    </w:pPr>
    <w:rPr>
      <w:rFonts w:hint="default" w:ascii="Times New Roman" w:hAnsi="Times New Roman" w:eastAsia="宋体" w:cs="Times New Roman"/>
      <w:szCs w:val="24"/>
    </w:rPr>
  </w:style>
  <w:style w:type="paragraph" w:customStyle="1" w:styleId="8">
    <w:name w:val="正文_2_0"/>
    <w:basedOn w:val="9"/>
    <w:next w:val="10"/>
    <w:qFormat/>
    <w:uiPriority w:val="0"/>
    <w:rPr>
      <w:rFonts w:eastAsia="Times New Roman"/>
    </w:rPr>
  </w:style>
  <w:style w:type="paragraph" w:customStyle="1" w:styleId="9">
    <w:name w:val="Normal_0_2"/>
    <w:qFormat/>
    <w:uiPriority w:val="0"/>
    <w:pPr>
      <w:widowControl w:val="0"/>
      <w:jc w:val="both"/>
    </w:pPr>
    <w:rPr>
      <w:rFonts w:hint="default" w:ascii="Calibri" w:hAnsi="Calibri" w:eastAsia="宋体" w:cs="Calibri"/>
      <w:sz w:val="21"/>
      <w:szCs w:val="21"/>
      <w:lang w:val="en-US" w:eastAsia="zh-CN" w:bidi="ar-SA"/>
    </w:rPr>
  </w:style>
  <w:style w:type="paragraph" w:customStyle="1" w:styleId="10">
    <w:name w:val="UserStyle_0"/>
    <w:basedOn w:val="11"/>
    <w:qFormat/>
    <w:uiPriority w:val="0"/>
    <w:pPr>
      <w:spacing w:after="120"/>
      <w:ind w:left="420"/>
    </w:pPr>
    <w:rPr>
      <w:rFonts w:eastAsia="Times New Roman"/>
    </w:rPr>
  </w:style>
  <w:style w:type="paragraph" w:customStyle="1" w:styleId="11">
    <w:name w:val="正文2"/>
    <w:next w:val="10"/>
    <w:qFormat/>
    <w:uiPriority w:val="0"/>
    <w:pPr>
      <w:widowControl w:val="0"/>
      <w:jc w:val="both"/>
    </w:pPr>
    <w:rPr>
      <w:rFonts w:hint="default" w:ascii="Calibri" w:hAnsi="Calibri" w:eastAsia="宋体" w:cs="黑体"/>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2263</Words>
  <Characters>2359</Characters>
  <Lines>0</Lines>
  <Paragraphs>0</Paragraphs>
  <TotalTime>34</TotalTime>
  <ScaleCrop>false</ScaleCrop>
  <LinksUpToDate>false</LinksUpToDate>
  <CharactersWithSpaces>2389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2025-11-10T06:46:00Z</dcterms:created>
  <dc:creator>Administrator</dc:creator>
  <cp:lastModifiedBy>简单</cp:lastModifiedBy>
  <dcterms:modified xsi:type="dcterms:W3CDTF">2025-11-13T06:38:17Z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eyJoZGlkIjoiZmU1ZDQ3Nzk0ZDI3NzZmM2ZmNWViOGFlNTM3MjA5NDAiLCJ1c2VySWQiOiI1MTI0NDA5ODAifQ==</vt:lpwstr>
  </property>
  <property fmtid="{D5CDD505-2E9C-101B-9397-08002B2CF9AE}" pid="4" name="ICV">
    <vt:lpwstr>217FE2348D3B4786B990744C6B5B4D4F_12</vt:lpwstr>
  </property>
</Properties>
</file>